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 State and municipal owned roads</w:t>
      </w:r>
    </w:p>
    <w:p>
      <w:pPr>
        <w:jc w:val="both"/>
        <w:spacing w:before="100" w:after="100"/>
        <w:ind w:start="360"/>
        <w:ind w:firstLine="360"/>
      </w:pPr>
      <w:r>
        <w:rPr/>
      </w:r>
      <w:r>
        <w:rPr/>
      </w:r>
      <w:r>
        <w:t xml:space="preserve">This subchapter shall not apply to any road or way, title to which is owned by the State or any municipality or other governmental body.</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 -- State and municipal owned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 State and municipal owned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§466. -- STATE AND MUNICIPAL OWNED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