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w:t>
        <w:t xml:space="preserve">.  </w:t>
      </w:r>
      <w:r>
        <w:rPr>
          <w:b/>
        </w:rPr>
        <w:t xml:space="preserve">Creation, conveyance, acceptance and duration</w:t>
      </w:r>
    </w:p>
    <w:p>
      <w:pPr>
        <w:jc w:val="both"/>
        <w:spacing w:before="100" w:after="0"/>
        <w:ind w:start="360"/>
        <w:ind w:firstLine="360"/>
      </w:pPr>
      <w:r>
        <w:rPr>
          <w:b/>
        </w:rPr>
        <w:t>1</w:t>
        <w:t xml:space="preserve">.  </w:t>
      </w:r>
      <w:r>
        <w:rPr>
          <w:b/>
        </w:rPr>
        <w:t xml:space="preserve">Conservation easement.</w:t>
        <w:t xml:space="preserve"> </w:t>
      </w:r>
      <w:r>
        <w:t xml:space="preserve"> </w:t>
      </w:r>
      <w:r>
        <w:t xml:space="preserve">Except as otherwise provided in this subchapter, a conservation easement may be created, conveyed, recorded, assigned or partially released in the same manner as other easements created by written instrument.  A conservation easement may be terminated or amended by the parties only as provided in </w:t>
      </w:r>
      <w:r>
        <w:t>section 477‑A,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§2 (AMD).]</w:t>
      </w:r>
    </w:p>
    <w:p>
      <w:pPr>
        <w:jc w:val="both"/>
        <w:spacing w:before="100" w:after="0"/>
        <w:ind w:start="360"/>
        <w:ind w:firstLine="360"/>
      </w:pPr>
      <w:r>
        <w:rPr>
          <w:b/>
        </w:rPr>
        <w:t>2</w:t>
        <w:t xml:space="preserve">.  </w:t>
      </w:r>
      <w:r>
        <w:rPr>
          <w:b/>
        </w:rPr>
        <w:t xml:space="preserve">Right or duty.</w:t>
        <w:t xml:space="preserve"> </w:t>
      </w:r>
      <w:r>
        <w:t xml:space="preserve"> </w:t>
      </w:r>
      <w:r>
        <w:t xml:space="preserve">No right or duty in favor of or against a holder arises under a conservation easement unless it is accepted by the holder and no right in favor of a person having a 3rd-party right of enforcement arises under a conservation easement unless it is accepted by any person having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subchapter, a conservation easement is unlimited in duration unless:</w:t>
      </w:r>
    </w:p>
    <w:p>
      <w:pPr>
        <w:jc w:val="both"/>
        <w:spacing w:before="100" w:after="0"/>
        <w:ind w:start="720"/>
      </w:pPr>
      <w:r>
        <w:rPr/>
        <w:t>A</w:t>
        <w:t xml:space="preserve">.  </w:t>
      </w:r>
      <w:r>
        <w:rPr/>
      </w:r>
      <w:r>
        <w:t xml:space="preserve">The instrument creating it otherwise provides; or</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Change of circumstances renders the easement no longer in the public interest as determined by the court as provided in </w:t>
      </w:r>
      <w:r>
        <w:t>section 477‑A, subsection 2, paragraph B</w:t>
      </w:r>
      <w:r>
        <w:t xml:space="preserve"> in an action under </w:t>
      </w:r>
      <w:r>
        <w:t>section 478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§3 (AMD).]</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a conservation easement is created shall not be impaired by it unless the owner of the interest is a party to the conservation easement or consents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Entitled to enter land.</w:t>
        <w:t xml:space="preserve"> </w:t>
      </w:r>
      <w:r>
        <w:t xml:space="preserve"> </w:t>
      </w:r>
      <w:r>
        <w:t xml:space="preserve">The instrument creating a conservation easement must provide in what manner and at what times representatives of the holder of a conservation easement or of any person having a 3rd-party right of enforcement shall be entitled to enter the land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 Creation, conveyance, acceptance and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 Creation, conveyance, acceptance and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§477. CREATION, CONVEYANCE, ACCEPTANCE AND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