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527</w:t>
        <w:t xml:space="preserve">.  </w:t>
      </w:r>
      <w:r>
        <w:rPr>
          <w:b/>
        </w:rPr>
        <w:t xml:space="preserve">Enforcement</w:t>
      </w:r>
    </w:p>
    <w:p>
      <w:pPr>
        <w:jc w:val="both"/>
        <w:spacing w:before="100" w:after="100"/>
        <w:ind w:start="360"/>
        <w:ind w:firstLine="360"/>
      </w:pPr>
      <w:r>
        <w:rPr/>
      </w:r>
      <w:r>
        <w:rPr/>
      </w:r>
      <w:r>
        <w:t xml:space="preserve">With respect to lenders that are supervised financial organizations as that term is defined in </w:t>
      </w:r>
      <w:r>
        <w:t>Title 9‑A, section 1‑301, subsection 38‑A</w:t>
      </w:r>
      <w:r>
        <w:t xml:space="preserve">, a violation of this subchapter is deemed an anticompetitive and deceptive practice and the Superintendent of Financial Institutions may take appropriate action to ensure compliance with this subchapter.  With respect to all other supervised lenders, as that term is defined in </w:t>
      </w:r>
      <w:r>
        <w:t>Title 9‑A, section 1‑301, subsection 39</w:t>
      </w:r>
      <w:r>
        <w:t xml:space="preserve">, the Superintendent of Consumer Credit Protection may take such action.</w:t>
      </w:r>
      <w:r>
        <w:t xml:space="preserve">  </w:t>
      </w:r>
      <w:r xmlns:wp="http://schemas.openxmlformats.org/drawingml/2010/wordprocessingDrawing" xmlns:w15="http://schemas.microsoft.com/office/word/2012/wordml">
        <w:rPr>
          <w:rFonts w:ascii="Arial" w:hAnsi="Arial" w:cs="Arial"/>
          <w:sz w:val="22"/>
          <w:szCs w:val="22"/>
        </w:rPr>
        <w:t xml:space="preserve">[PL 2021, c. 245, Pt. A, §14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145, §1 (NEW). PL 2001, c. 44, §11 (AMD). PL 2001, c. 44, §14 (AFF). PL 2021, c. 245, Pt. A, §14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§527. Enforcement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§527. Enforcement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§527. ENFORCEMENT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