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 Contents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Contents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§576. CONTENTS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