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w:t>
        <w:t xml:space="preserve">.  </w:t>
      </w:r>
      <w:r>
        <w:rPr>
          <w:b/>
        </w:rPr>
        <w:t xml:space="preserve">Insurance</w:t>
      </w:r>
    </w:p>
    <w:p>
      <w:pPr>
        <w:jc w:val="both"/>
        <w:spacing w:before="100" w:after="100"/>
        <w:ind w:start="360"/>
        <w:ind w:firstLine="360"/>
      </w:pPr>
      <w:r>
        <w:rPr/>
      </w:r>
      <w:r>
        <w:rPr/>
      </w:r>
      <w:r>
        <w:t xml:space="preserve">The manager or board of directors shall, to the extent required by the declaration, bylaws or direction of a majority of the unit owners, insure the building against loss or damage by fire and other hazards, without prejudice to the right of each unit owner to insure his own unit for his own benefit. Such insurance coverage shall be written on the property in the name of such manager or the board of directors of the association of unit owners, as trustee for each of the unit owners in the percentages established in the declaration. Premiums shall be common expenses.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§583.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§583.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