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Use in making official records of land boundaries</w:t>
      </w:r>
    </w:p>
    <w:p>
      <w:pPr>
        <w:jc w:val="both"/>
        <w:spacing w:before="100" w:after="100"/>
        <w:ind w:start="360"/>
        <w:ind w:firstLine="360"/>
      </w:pPr>
      <w:r>
        <w:rPr/>
      </w:r>
      <w:r>
        <w:rPr/>
      </w:r>
      <w:r>
        <w:t xml:space="preserve">No coordinates based on any of the Maine Coordinate Systems and originating from established Federal Geodetic Control Committee of the United States Department of Commerce or predecessor or successor agency control points and purporting to define the position of a point on a land boundary may be presented to be recorded in any public land records or deed records, unless the survey method used for the determination of these coordinates is specifically described on the record plan or description of the survey.</w:t>
      </w:r>
      <w:r>
        <w:t xml:space="preserve">  </w:t>
      </w:r>
      <w:r xmlns:wp="http://schemas.openxmlformats.org/drawingml/2010/wordprocessingDrawing" xmlns:w15="http://schemas.microsoft.com/office/word/2012/wordml">
        <w:rPr>
          <w:rFonts w:ascii="Arial" w:hAnsi="Arial" w:cs="Arial"/>
          <w:sz w:val="22"/>
          <w:szCs w:val="22"/>
        </w:rPr>
        <w:t xml:space="preserve">[PL 2011, c. 126,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2011, c. 126,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Use in making official records of land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Use in making official records of land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§806. USE IN MAKING OFFICIAL RECORDS OF LAND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