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§1205-A. CORRECTIONAL MEDICAL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