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or purchase of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w:t>
      </w:r>
    </w:p>
    <w:p>
      <w:pPr>
        <w:jc w:val="both"/>
        <w:spacing w:before="100" w:after="0"/>
        <w:ind w:start="1080"/>
      </w:pPr>
      <w:r>
        <w:rPr/>
        <w:t>(</w:t>
        <w:t>1</w:t>
        <w:t xml:space="preserve">)  </w:t>
      </w:r>
      <w:r>
        <w:rPr/>
      </w:r>
      <w:r>
        <w:t xml:space="preserve">Operates a human service program at the community level;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"Human service" means any alcoholism, children's community action, corrections, criminal justice, developmental disability, donated food, education, elderly, food stamp, income maintenance, health, juvenile, law enforcement, legal, medical care, mental health, adult developmental, poverty, public assistance, rehabilitation, social, substance use disorder, transportation, welfare or youth service operated by a community agency under an agreement financially supporting the service, wholly or in part, by funds authorized for expenditure for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§150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"State agency client" means the same as set out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§9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Commissioner's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§9 (RP).]</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board, care and mental health treatment costs for all state agency clients in the care or custody of the department who are placed for other than educational purposes in residential placements, as defined in </w:t>
      </w:r>
      <w:r>
        <w:t>Title 20‑A, section 1, subsection 24‑A</w:t>
      </w:r>
      <w:r>
        <w:t xml:space="preserve">, to the extent of funds appropriated by the Legislature for this purpose.  In no event may those payments be authorized in excess of funds appropriated for those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789, §§5,6,9 (AMD). PL 1987, c. 376 (AMD). PL 2005, c. 488, §9 (AMD). PL 2011, c. 542, Pt. A, §58 (AMD). PL 2017, c. 407, Pt. A, §150 (AMD). PL 2023, c. 449,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Agreements with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Agreements with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§1206. AGREEMENTS WITH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