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3063-B</w:t>
        <w:t xml:space="preserve">.  </w:t>
      </w:r>
      <w:r>
        <w:rPr>
          <w:b/>
        </w:rPr>
        <w:t xml:space="preserve">Transfer from jails</w:t>
      </w:r>
    </w:p>
    <w:p>
      <w:pPr>
        <w:jc w:val="both"/>
        <w:spacing w:before="100" w:after="100"/>
        <w:ind w:start="360"/>
        <w:ind w:firstLine="360"/>
      </w:pPr>
      <w:r>
        <w:rPr/>
      </w:r>
      <w:r>
        <w:rPr/>
      </w:r>
      <w:r>
        <w:t xml:space="preserve">The commissioner may accept custody of prisoners transferred to the department from county jails under </w:t>
      </w:r>
      <w:r>
        <w:t>Title 30‑A, section 1557‑B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335,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§3063-B. Transfer from jails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§3063-B. Transfer from jails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§3063-B. TRANSFER FROM JAILS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