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9601</w:t>
        <w:t xml:space="preserve">.  </w:t>
      </w:r>
      <w:r>
        <w:rPr>
          <w:b/>
        </w:rPr>
        <w:t xml:space="preserve">Purpose and policy--Article I</w:t>
      </w:r>
    </w:p>
    <w:p>
      <w:pPr>
        <w:jc w:val="both"/>
        <w:spacing w:before="100" w:after="100"/>
        <w:ind w:start="360"/>
        <w:ind w:firstLine="360"/>
      </w:pPr>
      <w:r>
        <w:rPr/>
      </w:r>
      <w:r>
        <w:rPr/>
      </w:r>
      <w:r>
        <w:t xml:space="preserve">The party states find that charges outstanding against a prisoner, detainers based on untried indictments, informations or complaints, and difficulties in securing speedy trials of persons already incarcerated in other jurisdictions, produce uncertainties which obstruct programs of prisoner treatment and rehabilitation.  Accordingly, it is the policy of the party states and the purpose of this agreement to encourage the expeditious and orderly disposition of such charges and determination of the proper status of any and all detainers based on untried indictments, informations or complaints.  The party states also find that proceedings with reference to such charges and detainers, when emanating from other jurisdictions, cannot properly be had in the absence of cooperative procedures.  It is the further purpose of this agreement to provide such cooperative procedures.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§9601. Purpose and policy--Article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§9601. Purpose and policy--Article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§9601. PURPOSE AND POLICY--ARTICLE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