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9633</w:t>
        <w:t xml:space="preserve">.  </w:t>
      </w:r>
      <w:r>
        <w:rPr>
          <w:b/>
        </w:rPr>
        <w:t xml:space="preserve">Escape</w:t>
      </w:r>
    </w:p>
    <w:p>
      <w:pPr>
        <w:jc w:val="both"/>
        <w:spacing w:before="100" w:after="100"/>
        <w:ind w:start="360"/>
        <w:ind w:firstLine="360"/>
      </w:pPr>
      <w:r>
        <w:rPr/>
      </w:r>
      <w:r>
        <w:rPr/>
      </w:r>
      <w:r>
        <w:t xml:space="preserve">Any person, who escapes or attempts to escape from custody while in another state pursuant to </w:t>
      </w:r>
      <w:r>
        <w:t>Article I</w:t>
      </w:r>
      <w:r>
        <w:t xml:space="preserve">, shall be subject to the penalties provided in </w:t>
      </w:r>
      <w:r>
        <w:t>Title 17‑A, section 755</w:t>
      </w:r>
      <w:r>
        <w:t xml:space="preserve">, for escape or attempt to escape from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§9633.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§9633.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§9633.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