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9886</w:t>
        <w:t xml:space="preserve">.  </w:t>
      </w:r>
      <w:r>
        <w:rPr>
          <w:b/>
        </w:rPr>
        <w:t xml:space="preserve">Violation of interstate compact for adult offender supervision</w:t>
      </w:r>
    </w:p>
    <w:p>
      <w:pPr>
        <w:jc w:val="both"/>
        <w:spacing w:before="100" w:after="100"/>
        <w:ind w:start="360"/>
        <w:ind w:firstLine="360"/>
      </w:pPr>
      <w:r>
        <w:rPr/>
      </w:r>
      <w:r>
        <w:rPr/>
      </w:r>
      <w:r>
        <w:t xml:space="preserve">Violation of the requirements of an interstate compact for adult offender supervision as enacted by the sentencing state is a Class D crime as provided in </w:t>
      </w:r>
      <w:r>
        <w:t>Title 17‑A, section 759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706,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§9886. Violation of interstate compact for adult offender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§9886. Violation of interstate compact for adult offender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§9886. VIOLATION OF INTERSTATE COMPACT FOR ADULT OFFENDER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