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9921</w:t>
        <w:t xml:space="preserve">.  </w:t>
      </w:r>
      <w:r>
        <w:rPr>
          <w:b/>
        </w:rPr>
        <w:t xml:space="preserve">State Council for Adult Offender Supervision established</w:t>
      </w:r>
    </w:p>
    <w:p>
      <w:pPr>
        <w:jc w:val="both"/>
        <w:spacing w:before="100" w:after="100"/>
        <w:ind w:start="360"/>
        <w:ind w:firstLine="360"/>
      </w:pPr>
      <w:r>
        <w:rPr/>
      </w:r>
      <w:r>
        <w:rPr/>
      </w:r>
      <w:r>
        <w:t xml:space="preserve">The State Council for Adult Offender Supervision, referred to in this section as "the council," is established to provide oversight and guidance to the State's participation in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C</w:t>
        <w:t xml:space="preserve">.  </w:t>
      </w:r>
      <w:r>
        <w:rPr/>
      </w:r>
      <w:r>
        <w:t xml:space="preserve">Three members who are appointed by the commissioner for a term of 4 years, or until a successor is appointed, and who are eligible for reappointment at the discretion of the commissioner:</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D</w:t>
        <w:t xml:space="preserve">.  </w:t>
      </w:r>
      <w:r>
        <w:rPr/>
      </w:r>
      <w:r>
        <w:t xml:space="preserve">The compact administrator for the Interstate Compact for Adult Offender Supervision, who may be a designee appointed by the commissioner to administer the Interstate Compact for Adult Offender Supervision; and</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E</w:t>
        <w:t xml:space="preserve">.  </w:t>
      </w:r>
      <w:r>
        <w:rPr/>
      </w:r>
      <w:r>
        <w:t xml:space="preserve">The Associate Commissioner for Adult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676, §1 (RP).]</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§B9 (NEW). PL 2011, c. 676,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§9921. State Council for Adult Offender Supervision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§9921. State Council for Adult Offender Supervision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§9921. STATE COUNCIL FOR ADULT OFFENDER SUPERVISION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