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facility or a provider.</w:t>
      </w:r>
    </w:p>
    <w:p>
      <w:pPr>
        <w:jc w:val="both"/>
        <w:spacing w:before="100" w:after="0"/>
        <w:ind w:start="720"/>
      </w:pPr>
      <w:r>
        <w:rPr/>
        <w:t>A</w:t>
        <w:t xml:space="preserve">.  </w:t>
      </w:r>
      <w:r>
        <w:rPr/>
      </w:r>
      <w:r>
        <w:t xml:space="preserve">A facility or provider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An emergency exists in a facility or provider that threatens the health, security or welfare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A facility or provider is in substantial or habitual violation of the standards of health, safety or resident care established under state rules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This remedy is in addition to, and not in lieu of, any power of the department, including, but not limited to, the power to revoke, suspend or refuse to renew any license or the power of the department to bring an action pursuant to </w:t>
      </w:r>
      <w:r>
        <w:t>Title 22, chapter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Pt. B, §6 (REV).]</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is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must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or provider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or provider that must be remedied immediately to ensure the health, safety and welfare of the clients or residents.  The appointment of a temporary receiver without notice to the owner or licensee may be made only if the court is satisfied that the petitioner has made a diligent attempt to provide reasonable notice under the circumstances.  Upon appointment of a temporary receiver, the department shall proceed to make service as provided in </w:t>
      </w:r>
      <w:r>
        <w:t>paragraph A</w:t>
      </w:r>
      <w:r>
        <w:t xml:space="preserve">, and a hearing must be held within 10 days, unless all parties agree to a later date.  If the department does not proceed with the petition, the court shall dissolve the receivership.  On 2 days' notice to the temporary receiver, all parties and the department, or on such shorter notice as the court may prescribe, the owner or licensee may appear and move the dissolution or modification of an order appointing a temporary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except a state employee, considered appropriate by the court to act as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any surety the court requires.  Any expenditures are paid from the revenues of the facility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§B6 (REV). PL 2011, c. 559,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§13003. Appointment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Appointment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§13003. APPOINTMENT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