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§13004. Powers and duties of the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Powers and duties of the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§13004. POWERS AND DUTIES OF THE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