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§1407. APPOINTMENT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