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Purpose</w:t>
      </w:r>
    </w:p>
    <w:p>
      <w:pPr>
        <w:jc w:val="both"/>
        <w:spacing w:before="100" w:after="100"/>
        <w:ind w:start="360"/>
        <w:ind w:firstLine="360"/>
      </w:pPr>
      <w:r>
        <w:rPr/>
      </w:r>
      <w:r>
        <w:rPr/>
      </w:r>
      <w:r>
        <w:t xml:space="preserve">The purpose of this subchapter is to expand community mental health services, encourage participation in a program of community mental health services by persons in local communities, obtain better understanding of the need for those services and secure aid for programs of community mental health services by state aid and local financial support.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