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Municipal notification</w:t>
      </w:r>
    </w:p>
    <w:p>
      <w:pPr>
        <w:jc w:val="both"/>
        <w:spacing w:before="100" w:after="100"/>
        <w:ind w:start="360"/>
        <w:ind w:firstLine="360"/>
      </w:pPr>
      <w:r>
        <w:rPr/>
      </w:r>
      <w:r>
        <w:rPr/>
      </w:r>
      <w:r>
        <w:t xml:space="preserve">With regard to residential services for persons committed to the custody of the commissioner pursuant to </w:t>
      </w:r>
      <w:r>
        <w:t>Title 15, chapter 5</w:t>
      </w:r>
      <w:r>
        <w:t xml:space="preserve">, 120 days prior to the opening of a residential facility by the department or to signing a contract with a community agency to provide a community-based residential facility, the department shall provide the specific location and detailed information to the municipality in which the facility is to be located.  The department shall review any response or site alternatives provided by municipal officials prior to the opening of the facility or signing of the contract.</w:t>
      </w:r>
      <w:r>
        <w:t xml:space="preserve">  </w:t>
      </w:r>
      <w:r xmlns:wp="http://schemas.openxmlformats.org/drawingml/2010/wordprocessingDrawing" xmlns:w15="http://schemas.microsoft.com/office/word/2012/wordml">
        <w:rPr>
          <w:rFonts w:ascii="Arial" w:hAnsi="Arial" w:cs="Arial"/>
          <w:sz w:val="22"/>
          <w:szCs w:val="22"/>
        </w:rPr>
        <w:t xml:space="preserve">[PL 2013,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§3612. Municipal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Municipal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§3612. MUNICIPAL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