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3622</w:t>
        <w:t xml:space="preserve">.  </w:t>
      </w:r>
      <w:r>
        <w:rPr>
          <w:b/>
        </w:rPr>
        <w:t xml:space="preserve">Crisis intervention team</w:t>
      </w:r>
    </w:p>
    <w:p>
      <w:pPr>
        <w:jc w:val="both"/>
        <w:spacing w:before="100" w:after="0"/>
        <w:ind w:start="360"/>
        <w:ind w:firstLine="360"/>
      </w:pPr>
      <w:r>
        <w:rPr>
          <w:b/>
        </w:rPr>
        <w:t>1</w:t>
        <w:t xml:space="preserve">.  </w:t>
      </w:r>
      <w:r>
        <w:rPr>
          <w:b/>
        </w:rPr>
        <w:t xml:space="preserve">Established.</w:t>
        <w:t xml:space="preserve"> </w:t>
      </w:r>
      <w:r>
        <w:t xml:space="preserve"> </w:t>
      </w:r>
      <w:r>
        <w:t xml:space="preserve">A community-based crisis intervention team shall be established to provide crisis intervention on a 24-hour, 7-days-a-week basis to mentally ill people and to provide crisis intervention training for emergency room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team shall be comprised of qualified mental health professionals with training and experience in assessment and intervention with mentally ill people in a crisis. In addition, the team members shall have a working knowledge of case management, the mental health system and area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§3622. Crisis intervention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§3622. Crisis intervention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§3622. CRISIS INTERVENTION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