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Payment of burial expenses for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Payment of burial expenses for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§5205. PAYMENT OF BURIAL EXPENSES FOR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