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5602</w:t>
        <w:t xml:space="preserve">.  </w:t>
      </w:r>
      <w:r>
        <w:rPr>
          <w:b/>
        </w:rPr>
        <w:t xml:space="preserve">Purpose</w:t>
      </w:r>
    </w:p>
    <w:p>
      <w:pPr>
        <w:jc w:val="both"/>
        <w:spacing w:before="100" w:after="100"/>
        <w:ind w:start="360"/>
        <w:ind w:firstLine="360"/>
      </w:pPr>
      <w:r>
        <w:rPr/>
      </w:r>
      <w:r>
        <w:rPr/>
      </w:r>
      <w:r>
        <w:t xml:space="preserve">It is the intent of the Legislature to guarantee individual dignity, liberty, pursuit of happiness and the protection of the civil and legal rights of persons with intellectual disabilities, autism or acquired brain injuries and to articulate rights of persons with intellectual disabilities, autism or acquired brain injuries, so that these rights may be exercised and protected.</w:t>
      </w:r>
      <w:r>
        <w:t xml:space="preserve">  </w:t>
      </w:r>
      <w:r xmlns:wp="http://schemas.openxmlformats.org/drawingml/2010/wordprocessingDrawing" xmlns:w15="http://schemas.microsoft.com/office/word/2012/wordml">
        <w:rPr>
          <w:rFonts w:ascii="Arial" w:hAnsi="Arial" w:cs="Arial"/>
          <w:sz w:val="22"/>
          <w:szCs w:val="22"/>
        </w:rPr>
        <w:t xml:space="preserve">[PL 2021, c. 284, Pt. A,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1993, c. 326, §8 (AMD). PL 2011, c. 542, Pt. A, §125 (AMD). PL 2021, c. 284, Pt. A,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§5602.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§5602.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§5602.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