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Care and treatment--Article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§9003. CARE AND TREATMENT--ARTICLE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