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§9008. Guardians--Article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Guardians--Article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§9008. GUARDIANS--ARTICLE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