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Withdrawal from compact--Article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§9013. WITHDRAWAL FROM COMPACT--ARTICLE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