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REGULATION OF FACILITIES IN THE PUBLIC WAY</w:t>
      </w:r>
    </w:p>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 except that a person subject to </w:t>
      </w:r>
      <w:r>
        <w:t>Title 30‑A, section 3008</w:t>
      </w:r>
      <w:r>
        <w:t xml:space="preserve"> must comply with the requirements of that section with respect to the location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§29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PL 2023, c. 502, §29 (AMD). </w:t>
      </w:r>
    </w:p>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25. REGULATION OF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