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1501</w:t>
        <w:t xml:space="preserve">.  </w:t>
      </w:r>
      <w:r>
        <w:rPr>
          <w:b/>
        </w:rPr>
        <w:t xml:space="preserve">Utility liable for civil damages</w:t>
      </w:r>
    </w:p>
    <w:p>
      <w:pPr>
        <w:jc w:val="both"/>
        <w:spacing w:before="100" w:after="100"/>
        <w:ind w:start="360"/>
        <w:ind w:firstLine="360"/>
      </w:pPr>
      <w:r>
        <w:rPr/>
      </w:r>
      <w:r>
        <w:rPr/>
      </w:r>
      <w:r>
        <w:t xml:space="preserve">If a public utility violates this Title, causes or permits a violation of this Title or omits to do anything that this Title requires it to do it may be liable in damages to the person injured as a result.  Recovery under this section does not affect a recovery by the State of the penalty prescribed for the violation.</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§1501. Utility liable for civil damages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§1501. Utility liable for civil damages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§1501. UTILITY LIABLE FOR CIVIL DAMAGES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