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Revocation; suspension</w:t>
      </w:r>
    </w:p>
    <w:p>
      <w:pPr>
        <w:jc w:val="both"/>
        <w:spacing w:before="100" w:after="100"/>
        <w:ind w:start="360"/>
        <w:ind w:firstLine="360"/>
      </w:pPr>
      <w:r>
        <w:rPr/>
      </w:r>
      <w:r>
        <w:rPr/>
      </w:r>
      <w:r>
        <w:t xml:space="preserve">The commission may, in an adjudicatory proceeding, suspend or revoke the authority of a public utility to provide service upon a finding that the public utility is unfit to provide safe, adequate and reliable service at rates that are just and reasonable.  The commission shall provide notice and a reasonable opportunity for the public utility to comply with its obligations under this Title prior to suspending or revoking the authority of a public utility to provide service pursuant to this section.  The authority granted in this section is in addition to the commission's authority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 Revocation;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Revocation;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§1511. REVOCATION;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