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§2103. TRANSMISSION AND DISTRIBUTION UTILITY AND COOPERATIVE AUTHORIZED TO SERVE SAME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