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Facilities in municipally designated historic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Facilities in municipally designated historic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§2312. FACILITIES IN MUNICIPALLY DESIGNATED HISTORIC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