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Improper work redone; penalty</w:t>
      </w:r>
    </w:p>
    <w:p>
      <w:pPr>
        <w:jc w:val="both"/>
        <w:spacing w:before="100" w:after="100"/>
        <w:ind w:start="360"/>
        <w:ind w:firstLine="360"/>
      </w:pPr>
      <w:r>
        <w:rPr/>
      </w:r>
      <w:r>
        <w:rPr/>
      </w:r>
      <w:r>
        <w:t xml:space="preserve">If a person improperly repairs or fills an opening, the municipal officers or their appointees may have the work redone properly and shall keep an account of the cost of redoing this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person in default shall pay a penalty equal to the cost of redoing the work plus 50%.  After the work is completed and the cost of the work is determined, the municipality may not issue a new permit to a person in default until it has received, in addition to the fees provided in </w:t>
      </w:r>
      <w:r>
        <w:t>section 2510</w:t>
      </w:r>
      <w:r>
        <w:t xml:space="preserve">, the amount of the penalty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§2512. Improper work redone;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Improper work redone;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§2512. IMPROPER WORK REDONE;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