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2515</w:t>
        <w:t xml:space="preserve">.  </w:t>
      </w:r>
      <w:r>
        <w:rPr>
          <w:b/>
        </w:rPr>
        <w:t xml:space="preserve">Liability; damages</w:t>
      </w:r>
    </w:p>
    <w:p>
      <w:pPr>
        <w:jc w:val="both"/>
        <w:spacing w:before="100" w:after="100"/>
        <w:ind w:start="360"/>
        <w:ind w:firstLine="360"/>
      </w:pPr>
      <w:r>
        <w:rPr/>
      </w:r>
      <w:r>
        <w:rPr/>
      </w:r>
      <w:r>
        <w:t xml:space="preserve">Every corporation organized under </w:t>
      </w:r>
      <w:r>
        <w:t>section 2101</w:t>
      </w:r>
      <w:r>
        <w:t xml:space="preserve"> and former </w:t>
      </w:r>
      <w:r>
        <w:t>section 2109</w:t>
      </w:r>
      <w:r>
        <w:t xml:space="preserve"> and every entity authorized under </w:t>
      </w:r>
      <w:r>
        <w:t>section 2301</w:t>
      </w:r>
      <w:r>
        <w:t xml:space="preserve"> to construct lines is liable in all cases to repay a municipality all sums of money that the municipality is obliged to pay on a judgment recovered against it for damages caused by an obstruction, digging up or displacement of a way or street by the corporation or entity, together with attorney's fees and expenses necessarily incurred in defending the municipality in the actions.  The corporation or entity must:</w:t>
      </w:r>
      <w:r>
        <w:t xml:space="preserve">  </w:t>
      </w:r>
      <w:r xmlns:wp="http://schemas.openxmlformats.org/drawingml/2010/wordprocessingDrawing" xmlns:w15="http://schemas.microsoft.com/office/word/2012/wordml">
        <w:rPr>
          <w:rFonts w:ascii="Arial" w:hAnsi="Arial" w:cs="Arial"/>
          <w:sz w:val="22"/>
          <w:szCs w:val="22"/>
        </w:rPr>
        <w:t xml:space="preserve">[PL 2011, c. 623, Pt. B, §11 (AMD).]</w:t>
      </w:r>
    </w:p>
    <w:p>
      <w:pPr>
        <w:jc w:val="both"/>
        <w:spacing w:before="100" w:after="0"/>
        <w:ind w:start="360"/>
        <w:ind w:firstLine="360"/>
      </w:pPr>
      <w:r>
        <w:rPr>
          <w:b/>
        </w:rPr>
        <w:t>1</w:t>
        <w:t xml:space="preserve">.  </w:t>
      </w:r>
      <w:r>
        <w:rPr>
          <w:b/>
        </w:rPr>
        <w:t xml:space="preserve">Notice.</w:t>
        <w:t xml:space="preserve"> </w:t>
      </w:r>
      <w:r>
        <w:t xml:space="preserve"> </w:t>
      </w:r>
      <w:r>
        <w:t xml:space="preserve">Be notified of the commencement of any civil actions for damage;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w:t>
        <w:t xml:space="preserve">.  </w:t>
      </w:r>
      <w:r>
        <w:rPr>
          <w:b/>
        </w:rPr>
        <w:t xml:space="preserve">Right to defend.</w:t>
        <w:t xml:space="preserve"> </w:t>
      </w:r>
      <w:r>
        <w:t xml:space="preserve"> </w:t>
      </w:r>
      <w:r>
        <w:t xml:space="preserve">Have the right to defend the action at its own expense.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1999, c. 398, §A37 (AMD). PL 1999, c. 398, §§A104,105 (AFF). PL 2011, c. 623, Pt. B, §11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§2515. Liability; damages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§2515. Liability; damages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§2515. LIABILITY; DAMAGES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