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Heat pump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Heat pump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§3105. HEAT PUMP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