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§3209-B. Commercial and institutional net energy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§3209-B. Commercial and institutional net energy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§3209-B. COMMERCIAL AND INSTITUTIONAL NET ENERGY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