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4. Determination of tangible benefit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Determination of tangible benefit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4. DETERMINATION OF TANGIBLE BENEFIT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