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Filing of articles</w:t>
      </w:r>
    </w:p>
    <w:p>
      <w:pPr>
        <w:jc w:val="both"/>
        <w:spacing w:before="100" w:after="0"/>
        <w:ind w:start="360"/>
        <w:ind w:firstLine="360"/>
      </w:pPr>
      <w:r>
        <w:rPr>
          <w:b/>
        </w:rPr>
        <w:t>1</w:t>
        <w:t xml:space="preserve">.  </w:t>
      </w:r>
      <w:r>
        <w:rPr>
          <w:b/>
        </w:rPr>
        <w:t xml:space="preserve">Articles filed by Secretary of State.</w:t>
        <w:t xml:space="preserve"> </w:t>
      </w:r>
      <w:r>
        <w:t xml:space="preserve"> </w:t>
      </w:r>
      <w:r>
        <w:t xml:space="preserve">Articles of incorporation, amendment, conversion or dissolution, when executed and acknowledged and accompanied by such affidavits as may be required by this chapter, must be presented to the Secretary of State for filing in the records of the office of the Secretary of State. If the Secretary of State determines that the articles presented conform to the requirements of this chapter, the Secretary of State shall, upon the payment of the fees as provided in </w:t>
      </w:r>
      <w:r>
        <w:t>section 3708</w:t>
      </w:r>
      <w:r>
        <w:t xml:space="preserve">, file the articles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§414 (COR).]</w:t>
      </w:r>
    </w:p>
    <w:p>
      <w:pPr>
        <w:jc w:val="both"/>
        <w:spacing w:before="100" w:after="0"/>
        <w:ind w:start="360"/>
        <w:ind w:firstLine="360"/>
      </w:pPr>
      <w:r>
        <w:rPr>
          <w:b/>
        </w:rPr>
        <w:t>2</w:t>
        <w:t xml:space="preserve">.  </w:t>
      </w:r>
      <w:r>
        <w:rPr>
          <w:b/>
        </w:rPr>
        <w:t xml:space="preserve">Articles in effect upon filing.</w:t>
        <w:t xml:space="preserve"> </w:t>
      </w:r>
      <w:r>
        <w:t xml:space="preserve"> </w:t>
      </w:r>
      <w:r>
        <w:t xml:space="preserve">Upon the filing by the Secretary of State the incorporation, amendment, conversion or dissolution provided for in the articles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Application of this section to certificates of election to dissolve.</w:t>
        <w:t xml:space="preserve"> </w:t>
      </w:r>
      <w:r>
        <w:t xml:space="preserve"> </w:t>
      </w:r>
      <w:r>
        <w:t xml:space="preserve">This section applies to certificates of election to dissolve and affidavits executed in connection with the certificates pursuant to </w:t>
      </w:r>
      <w:r>
        <w:t>section 3755,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§3710. Filing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Filing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§3710. FILING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