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Commission advancement of clean energy and beneficial electrification</w:t>
      </w:r>
    </w:p>
    <w:p>
      <w:pPr>
        <w:jc w:val="both"/>
        <w:spacing w:before="100" w:after="100"/>
        <w:ind w:start="360"/>
        <w:ind w:firstLine="360"/>
      </w:pPr>
      <w:r>
        <w:rPr/>
      </w:r>
      <w:r>
        <w:rPr/>
      </w:r>
      <w:r>
        <w:t xml:space="preserve">The commission shall advance through its decisions and orders beneficial electrification in order to achieve the emission reduction and renewable energy goals of the State, reduce energy costs to consumers and provide economic and climate benefits for all ratepayers. The commission shall seek to procure energy under </w:t>
      </w:r>
      <w:r>
        <w:t>section 3803, subsection 1, paragraph B</w:t>
      </w:r>
      <w:r>
        <w:t xml:space="preserve"> in a manner that is consistent with beneficial electrification. To the extent practicable, the commission shall seek to ensure that the acquisition of energy from renewable resources under </w:t>
      </w:r>
      <w:r>
        <w:t>section 3803, subsection 1, paragraph B</w:t>
      </w:r>
      <w:r>
        <w:t xml:space="preserve"> is designed to procure sufficient energy to meet the portfolio requirements under </w:t>
      </w:r>
      <w:r>
        <w:t>section 3210</w:t>
      </w:r>
      <w:r>
        <w:t xml:space="preserve"> for the reasonably expected increase in use of electricity by retail electricity consumers.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Commission advancement of clean energy and beneficial electrification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Commission advancement of clean energy and beneficial electrification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§3804. COMMISSION ADVANCEMENT OF CLEAN ENERGY AND BENEFICIAL ELECTRIFICATION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