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Rates for municipal and quasi-municipal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Rates for municipal and quasi-municipal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§6105. RATES FOR MUNICIPAL AND QUASI-MUNICIPAL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