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§6109-B. CONTRACTS FOR LARGE-SCALE EXTRACTION AND TRANSPORTATION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