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Special privileges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Special privileges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§701. SPECIAL PRIVILEGES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