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§713. UNREGULATED BUSINESS VENTURES OF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