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§717. JOINT USE ENTITY LIAISONS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