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§9217. Community broadband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§9217. Community broadband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§9217. COMMUNITY BROADBAND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