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102‑A, subsection 10</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PL 2023, c. 679, Pt. C, §5 (AMD).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 UNIFORM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