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 Collector's return of sale;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Collector's return of sale;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§1075. COLLECTOR'S RETURN OF SALE;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