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§1079. Refund of taxes paid by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Refund of taxes paid by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§1079. REFUND OF TAXES PAID BY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