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§1080. DELIVERY OF DEED TO PURCHASER AFTER 2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