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Application</w:t>
      </w:r>
    </w:p>
    <w:p>
      <w:pPr>
        <w:jc w:val="both"/>
        <w:spacing w:before="100" w:after="100"/>
        <w:ind w:start="360"/>
        <w:ind w:firstLine="360"/>
      </w:pPr>
      <w:r>
        <w:rPr/>
      </w:r>
      <w:r>
        <w:rPr/>
      </w:r>
      <w:r>
        <w:t xml:space="preserve">No person can apply for classification for more than an aggregate total of 15,000 acres under this subchapter. The classification of farmland or open space land hereunder shall continue until the municipal assessor, or State Tax Assessor in the unorganized territory, determine that the land no longer meets the requirements of such classification.</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