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Program promotion</w:t>
      </w:r>
    </w:p>
    <w:p>
      <w:pPr>
        <w:jc w:val="both"/>
        <w:spacing w:before="100" w:after="100"/>
        <w:ind w:start="360"/>
        <w:ind w:firstLine="360"/>
      </w:pPr>
      <w:r>
        <w:rPr/>
      </w:r>
      <w:r>
        <w:rPr/>
      </w:r>
      <w:r>
        <w:t xml:space="preserve">The Department of Agriculture, Conservation and Forestry shall undertake an informational program designed to educate Maine citizens as to the existence of the farm and open space tax laws, which must include, but not be limited to, informing local farm organizations and associations of tax assessors about the law.</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w:pPr>
        <w:jc w:val="both"/>
        <w:spacing w:before="100" w:after="100"/>
        <w:ind w:start="360"/>
        <w:ind w:firstLine="360"/>
      </w:pPr>
      <w:r>
        <w:rPr/>
      </w:r>
      <w:r>
        <w:rPr/>
      </w:r>
      <w:r>
        <w:t xml:space="preserve">The Department of Agriculture,  Conservation and Forestry and the Bureau of Revenue Services shall produce written materials designed to inform municipal assessors, farmers and Maine citizens about the farm and open space tax program.  These materials  must be in a form that is attractive, easily understandable and designed to interest the public in the program.  The department and the bureau shall ensure that these written materials are made available and distributed as widely as possible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1997, c. 526, §14 (AMD). PL 2013, c. 405, Pt. D,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 Program promotion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Program promotion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§1120. PROGRAM PROMOTION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