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Article IX, Section 8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