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Transfer of ownership</w:t>
      </w:r>
    </w:p>
    <w:p>
      <w:pPr>
        <w:jc w:val="both"/>
        <w:spacing w:before="100" w:after="100"/>
        <w:ind w:start="360"/>
        <w:ind w:firstLine="360"/>
      </w:pPr>
      <w:r>
        <w:rPr/>
      </w:r>
      <w:r>
        <w:rPr/>
      </w:r>
      <w:r>
        <w:t xml:space="preserve">If land taxed under this subchapter is transferred to a new owner or owners, in order to maintain the classification, within one year of the date of transfer, the new owner or owners must file with the assessor a new application and a sworn statement indicating that the transferred parcel continues to meet the requirements of </w:t>
      </w:r>
      <w:r>
        <w:t>section 1132,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